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B5" w:rsidRDefault="003965B5" w:rsidP="003965B5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Proiect de decizie</w:t>
      </w:r>
    </w:p>
    <w:p w:rsidR="003965B5" w:rsidRDefault="003965B5" w:rsidP="003965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3965B5" w:rsidRDefault="00620841" w:rsidP="003965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4.95pt;margin-top:-60.8pt;width:135pt;height:168pt;z-index:251658240;mso-position-horizontal-relative:text;mso-position-vertical-relative:text">
            <v:imagedata r:id="rId6" o:title=""/>
          </v:shape>
          <o:OLEObject Type="Embed" ProgID="Unknown" ShapeID="_x0000_s1026" DrawAspect="Content" ObjectID="_1836974624" r:id="rId7"/>
        </w:pict>
      </w:r>
      <w:r w:rsidR="003965B5"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 w:rsidR="003965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965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965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3965B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3965B5" w:rsidRDefault="003965B5" w:rsidP="0039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3965B5" w:rsidRDefault="003965B5" w:rsidP="0039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3965B5" w:rsidRDefault="003965B5" w:rsidP="003965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3965B5" w:rsidRDefault="003965B5" w:rsidP="00FF3F1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965B5" w:rsidRDefault="003965B5" w:rsidP="003965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3965B5" w:rsidRDefault="003965B5" w:rsidP="003965B5">
      <w:r>
        <w:t xml:space="preserve">                                             </w:t>
      </w:r>
    </w:p>
    <w:p w:rsidR="003965B5" w:rsidRDefault="003965B5" w:rsidP="00396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                                                                                                      nr.</w:t>
      </w:r>
    </w:p>
    <w:p w:rsidR="003965B5" w:rsidRDefault="003965B5" w:rsidP="003965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,,Precăutarea cererilor</w:t>
      </w:r>
    </w:p>
    <w:p w:rsidR="007A6FD1" w:rsidRDefault="00F73A48" w:rsidP="003965B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Rectificarea </w:t>
      </w:r>
      <w:r w:rsidR="007A6FD1">
        <w:rPr>
          <w:rFonts w:ascii="Times New Roman" w:hAnsi="Times New Roman" w:cs="Times New Roman"/>
          <w:i/>
          <w:sz w:val="24"/>
          <w:szCs w:val="24"/>
        </w:rPr>
        <w:t xml:space="preserve">p. 36 din Decizia nr. 05/06 din 17.02.2012  și </w:t>
      </w:r>
    </w:p>
    <w:p w:rsidR="003965B5" w:rsidRDefault="003965B5" w:rsidP="003965B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b/>
          <w:i/>
          <w:sz w:val="24"/>
          <w:szCs w:val="24"/>
        </w:rPr>
        <w:t>liberarea titlului de autentificarea  deținătorului de teren,,</w:t>
      </w:r>
    </w:p>
    <w:p w:rsidR="003965B5" w:rsidRDefault="003965B5" w:rsidP="003965B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C191A" w:rsidRPr="00BC191A" w:rsidRDefault="00663F1F" w:rsidP="003965B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2FE6">
        <w:rPr>
          <w:rFonts w:ascii="Times New Roman" w:hAnsi="Times New Roman" w:cs="Times New Roman"/>
          <w:sz w:val="24"/>
          <w:szCs w:val="24"/>
        </w:rPr>
        <w:t xml:space="preserve">  </w:t>
      </w:r>
      <w:r w:rsidR="003965B5">
        <w:rPr>
          <w:rFonts w:ascii="Times New Roman" w:hAnsi="Times New Roman" w:cs="Times New Roman"/>
          <w:sz w:val="24"/>
          <w:szCs w:val="24"/>
        </w:rPr>
        <w:t>În cadrul atribuirii terenurilor în proprietate privată  pe teritoriul comunei Bîrlădeni au fost executate  lucrări cadastrale  în urma cărora  s-au eliberat titluri de autentificare a dreptului deținătorului de teren,  din  neatenție s-a omis  eliberarea titlului de aut</w:t>
      </w:r>
      <w:r w:rsidR="007F76FD">
        <w:rPr>
          <w:rFonts w:ascii="Times New Roman" w:hAnsi="Times New Roman" w:cs="Times New Roman"/>
          <w:sz w:val="24"/>
          <w:szCs w:val="24"/>
        </w:rPr>
        <w:t>entificare pe numele Tcaci Mihail  (a.n. 27.10.1976</w:t>
      </w:r>
      <w:r w:rsidR="007F76FD">
        <w:rPr>
          <w:rFonts w:ascii="Times New Roman" w:hAnsi="Times New Roman" w:cs="Times New Roman"/>
          <w:sz w:val="24"/>
          <w:szCs w:val="24"/>
          <w:lang w:val="en-US"/>
        </w:rPr>
        <w:t>,  IDNP  2002026053385</w:t>
      </w:r>
      <w:r w:rsidR="003965B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 o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eroare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transcrierea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prenumelui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greșit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FE6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A82FE6">
        <w:rPr>
          <w:rFonts w:ascii="Times New Roman" w:hAnsi="Times New Roman" w:cs="Times New Roman"/>
          <w:sz w:val="24"/>
          <w:szCs w:val="24"/>
        </w:rPr>
        <w:t xml:space="preserve">și anume </w:t>
      </w:r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s-a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transcris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Mircea</w:t>
      </w:r>
      <w:proofErr w:type="spellEnd"/>
      <w:r w:rsidR="00A82F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509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îi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spun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rudele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locuitorii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20841">
        <w:rPr>
          <w:rFonts w:ascii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cauză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90E">
        <w:rPr>
          <w:rFonts w:ascii="Times New Roman" w:hAnsi="Times New Roman" w:cs="Times New Roman"/>
          <w:sz w:val="24"/>
          <w:szCs w:val="24"/>
          <w:lang w:val="en-US"/>
        </w:rPr>
        <w:t>greșeala</w:t>
      </w:r>
      <w:proofErr w:type="spellEnd"/>
      <w:r w:rsidR="0075090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A82FE6">
        <w:rPr>
          <w:rFonts w:ascii="Times New Roman" w:hAnsi="Times New Roman" w:cs="Times New Roman"/>
          <w:sz w:val="24"/>
          <w:szCs w:val="24"/>
          <w:lang w:val="en-US"/>
        </w:rPr>
        <w:t xml:space="preserve">onform </w:t>
      </w:r>
      <w:proofErr w:type="spellStart"/>
      <w:r w:rsidR="00A82FE6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="00A82FE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82FE6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="00A8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82FE6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C49DE">
        <w:rPr>
          <w:rFonts w:ascii="Times New Roman" w:hAnsi="Times New Roman" w:cs="Times New Roman"/>
          <w:sz w:val="24"/>
          <w:szCs w:val="24"/>
          <w:lang w:val="en-US"/>
        </w:rPr>
        <w:t>rect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C49DE"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 w:rsidR="008C49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65B5" w:rsidRPr="00A82FE6" w:rsidRDefault="00663F1F" w:rsidP="00A82F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BC191A" w:rsidRPr="000769AE">
        <w:rPr>
          <w:rFonts w:ascii="Times New Roman" w:hAnsi="Times New Roman" w:cs="Times New Roman"/>
          <w:sz w:val="24"/>
          <w:szCs w:val="24"/>
        </w:rPr>
        <w:t>La interpelarea a</w:t>
      </w:r>
      <w:r w:rsidR="00A82FE6">
        <w:rPr>
          <w:rFonts w:ascii="Times New Roman" w:hAnsi="Times New Roman" w:cs="Times New Roman"/>
          <w:sz w:val="24"/>
          <w:szCs w:val="24"/>
        </w:rPr>
        <w:t xml:space="preserve">dresată către S.E.A.I. Ocnița </w:t>
      </w:r>
      <w:r w:rsidR="00A82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69AE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191A" w:rsidRPr="000769AE">
        <w:rPr>
          <w:rFonts w:ascii="Times New Roman" w:hAnsi="Times New Roman" w:cs="Times New Roman"/>
          <w:sz w:val="24"/>
          <w:szCs w:val="24"/>
        </w:rPr>
        <w:t>a fost obținut răspuns   nr.</w:t>
      </w:r>
      <w:r w:rsidR="000769AE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82FE6">
        <w:rPr>
          <w:rFonts w:ascii="Times New Roman" w:hAnsi="Times New Roman" w:cs="Times New Roman"/>
          <w:sz w:val="24"/>
          <w:szCs w:val="24"/>
          <w:lang w:val="en-US"/>
        </w:rPr>
        <w:t>361</w:t>
      </w:r>
      <w:r w:rsidR="000769AE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C191A" w:rsidRPr="000769AE">
        <w:rPr>
          <w:rFonts w:ascii="Times New Roman" w:hAnsi="Times New Roman" w:cs="Times New Roman"/>
          <w:sz w:val="24"/>
          <w:szCs w:val="24"/>
        </w:rPr>
        <w:t xml:space="preserve">  din  </w:t>
      </w:r>
      <w:r w:rsidR="000769AE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82FE6">
        <w:rPr>
          <w:rFonts w:ascii="Times New Roman" w:hAnsi="Times New Roman" w:cs="Times New Roman"/>
          <w:sz w:val="24"/>
          <w:szCs w:val="24"/>
          <w:lang w:val="en-US"/>
        </w:rPr>
        <w:t>24.03.2026</w:t>
      </w:r>
      <w:r w:rsidR="000769AE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C191A" w:rsidRPr="000769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C191A" w:rsidRPr="000769AE">
        <w:rPr>
          <w:rFonts w:ascii="Times New Roman" w:hAnsi="Times New Roman" w:cs="Times New Roman"/>
          <w:sz w:val="24"/>
          <w:szCs w:val="24"/>
        </w:rPr>
        <w:t>se anexează) că în Registrul de Stat al Populați</w:t>
      </w:r>
      <w:r w:rsidR="000769AE">
        <w:rPr>
          <w:rFonts w:ascii="Times New Roman" w:hAnsi="Times New Roman" w:cs="Times New Roman"/>
          <w:sz w:val="24"/>
          <w:szCs w:val="24"/>
        </w:rPr>
        <w:t>ei, persoana Tcaci Mircea  (a.n. 27.10.1976</w:t>
      </w:r>
      <w:r w:rsidR="00BC191A" w:rsidRPr="000769AE">
        <w:rPr>
          <w:rFonts w:ascii="Times New Roman" w:hAnsi="Times New Roman" w:cs="Times New Roman"/>
          <w:sz w:val="24"/>
          <w:szCs w:val="24"/>
        </w:rPr>
        <w:t>)  nu figurează.</w:t>
      </w:r>
      <w:r w:rsidR="00A82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confirmă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cet. </w:t>
      </w:r>
      <w:proofErr w:type="spell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Tcaci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Mihail</w:t>
      </w:r>
      <w:proofErr w:type="spellEnd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47DA7" w:rsidRPr="000769AE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proprietarul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deținerea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titlului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provizoriu</w:t>
      </w:r>
      <w:proofErr w:type="spellEnd"/>
      <w:r w:rsidR="003965B5" w:rsidRPr="000769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65B5" w:rsidRPr="00FF3F12" w:rsidRDefault="003965B5" w:rsidP="00FF3F12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În conformitate cu art. 14 al.(1) al Legii privind administrația publică locală nr. 436-XVI din 28.12.2006, art. 9 alin (2) lit. b) al Codului Funciar nr. 22 din 15.02.2024  Consiliul comunal Bîrlădeni</w:t>
      </w:r>
    </w:p>
    <w:p w:rsidR="008C49DE" w:rsidRDefault="003965B5" w:rsidP="00FF3F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F1A72" w:rsidRPr="00B60E93" w:rsidRDefault="008C49DE" w:rsidP="002F1A7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518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60E93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B60E93">
        <w:rPr>
          <w:rFonts w:ascii="Times New Roman" w:hAnsi="Times New Roman" w:cs="Times New Roman"/>
          <w:sz w:val="28"/>
          <w:szCs w:val="28"/>
          <w:lang w:val="en-US"/>
        </w:rPr>
        <w:t>rectifică</w:t>
      </w:r>
      <w:proofErr w:type="spellEnd"/>
      <w:r w:rsidRPr="00B60E93">
        <w:rPr>
          <w:rFonts w:ascii="Times New Roman" w:hAnsi="Times New Roman" w:cs="Times New Roman"/>
          <w:sz w:val="28"/>
          <w:szCs w:val="28"/>
          <w:lang w:val="en-US"/>
        </w:rPr>
        <w:t xml:space="preserve"> p. 36 la </w:t>
      </w:r>
      <w:proofErr w:type="spellStart"/>
      <w:r w:rsidRPr="00B60E93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B60E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60E93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B60E93">
        <w:rPr>
          <w:rFonts w:ascii="Times New Roman" w:hAnsi="Times New Roman" w:cs="Times New Roman"/>
          <w:sz w:val="28"/>
          <w:szCs w:val="28"/>
          <w:lang w:val="en-US"/>
        </w:rPr>
        <w:t xml:space="preserve">. 05/06 din 17.02.2012 </w:t>
      </w:r>
      <w:proofErr w:type="spellStart"/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după</w:t>
      </w:r>
      <w:proofErr w:type="spellEnd"/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cum </w:t>
      </w:r>
      <w:proofErr w:type="spellStart"/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urmează</w:t>
      </w:r>
      <w:proofErr w:type="spellEnd"/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din</w:t>
      </w:r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Tcaci</w:t>
      </w:r>
      <w:proofErr w:type="spellEnd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Mircea</w:t>
      </w:r>
      <w:proofErr w:type="spellEnd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Feodor</w:t>
      </w:r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proofErr w:type="spellStart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a.n</w:t>
      </w:r>
      <w:proofErr w:type="spellEnd"/>
      <w:r w:rsidR="00451819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27.10.1976</w:t>
      </w:r>
      <w:r w:rsidR="002F1A72" w:rsidRPr="00B60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 </w:t>
      </w:r>
      <w:proofErr w:type="spellStart"/>
      <w:r w:rsidR="002F1A72" w:rsidRPr="00B60E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</w:t>
      </w:r>
      <w:proofErr w:type="spellEnd"/>
      <w:r w:rsidR="00B60E93" w:rsidRPr="00B60E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0E93" w:rsidRPr="00B60E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înscrierea</w:t>
      </w:r>
      <w:proofErr w:type="spellEnd"/>
      <w:r w:rsidR="00B60E93" w:rsidRPr="00B60E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B60E93" w:rsidRPr="00B60E9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corectă</w:t>
      </w:r>
      <w:proofErr w:type="spellEnd"/>
    </w:p>
    <w:p w:rsidR="008C49DE" w:rsidRPr="00574A15" w:rsidRDefault="00451819" w:rsidP="008C49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Tcaci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Mihail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a.n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. 2</w:t>
      </w:r>
      <w:r w:rsidR="002F1A72" w:rsidRPr="00574A15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.10.1976</w:t>
      </w:r>
      <w:proofErr w:type="gramStart"/>
      <w:r w:rsidR="002F1A72" w:rsidRPr="00574A15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IDNP</w:t>
      </w:r>
      <w:proofErr w:type="gram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2002026053385</w:t>
      </w:r>
      <w:r w:rsidR="002F1A72"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</w:t>
      </w:r>
      <w:proofErr w:type="spellStart"/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>bunului</w:t>
      </w:r>
      <w:proofErr w:type="spellEnd"/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cadastral 6210203.161  cu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de 0,30</w:t>
      </w:r>
      <w:r w:rsidR="002F1A72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 ha.</w:t>
      </w:r>
    </w:p>
    <w:p w:rsidR="003965B5" w:rsidRPr="00574A15" w:rsidRDefault="003965B5" w:rsidP="00574A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cu 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înscrierile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modificărilor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dețin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de   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sz w:val="28"/>
          <w:szCs w:val="28"/>
          <w:lang w:val="en-US"/>
        </w:rPr>
        <w:t>terenul</w:t>
      </w:r>
      <w:proofErr w:type="spellEnd"/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, conform </w:t>
      </w: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Deciziei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05/06 din 17.02.2012</w:t>
      </w:r>
      <w:r w:rsidR="00EB3D6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965B5" w:rsidRPr="00574A15" w:rsidRDefault="000769AE" w:rsidP="000769AE">
      <w:pPr>
        <w:pStyle w:val="a3"/>
        <w:numPr>
          <w:ilvl w:val="0"/>
          <w:numId w:val="1"/>
        </w:numPr>
        <w:spacing w:after="0"/>
        <w:ind w:left="24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De a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elibera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titlul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autentificare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deținătorului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cu 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proofErr w:type="gram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20C97">
        <w:rPr>
          <w:rFonts w:ascii="Times New Roman" w:hAnsi="Times New Roman" w:cs="Times New Roman"/>
          <w:b/>
          <w:sz w:val="28"/>
          <w:szCs w:val="28"/>
          <w:lang w:val="en-US"/>
        </w:rPr>
        <w:t>6210203.16</w:t>
      </w:r>
      <w:r w:rsidR="00CF20BC">
        <w:rPr>
          <w:rFonts w:ascii="Times New Roman" w:hAnsi="Times New Roman" w:cs="Times New Roman"/>
          <w:b/>
          <w:sz w:val="28"/>
          <w:szCs w:val="28"/>
          <w:lang w:val="en-US"/>
        </w:rPr>
        <w:t>1-0,3</w:t>
      </w:r>
      <w:r w:rsidR="003965B5"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0  ha, </w:t>
      </w:r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,   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privată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extravilan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Paladea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,  cet</w:t>
      </w:r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proofErr w:type="spellStart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>Tcaci</w:t>
      </w:r>
      <w:proofErr w:type="spellEnd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>Mihail</w:t>
      </w:r>
      <w:proofErr w:type="spellEnd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spellStart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>a.n</w:t>
      </w:r>
      <w:proofErr w:type="spellEnd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>.  27.10.1976</w:t>
      </w:r>
      <w:proofErr w:type="gramStart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>,  IDNP</w:t>
      </w:r>
      <w:proofErr w:type="gramEnd"/>
      <w:r w:rsidR="00EB3D6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2002026053385</w:t>
      </w:r>
      <w:r w:rsidR="003965B5" w:rsidRPr="00574A1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965B5" w:rsidRPr="00574A15" w:rsidRDefault="003965B5" w:rsidP="003965B5">
      <w:pPr>
        <w:spacing w:after="0"/>
        <w:ind w:left="780"/>
        <w:rPr>
          <w:rFonts w:ascii="Times New Roman" w:hAnsi="Times New Roman" w:cs="Times New Roman"/>
          <w:sz w:val="28"/>
          <w:szCs w:val="28"/>
          <w:lang w:val="en-US"/>
        </w:rPr>
      </w:pPr>
    </w:p>
    <w:p w:rsidR="003965B5" w:rsidRPr="00574A15" w:rsidRDefault="00574A15" w:rsidP="003965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.Prezenta</w:t>
      </w:r>
      <w:proofErr w:type="gram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servește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temei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efectuarea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înscrierilor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Bunurilor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Imobile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965B5" w:rsidRPr="00574A15" w:rsidRDefault="003965B5" w:rsidP="003965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965B5" w:rsidRPr="00574A15" w:rsidRDefault="00574A15" w:rsidP="00FF3F12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data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din data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publicării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 w:rsidR="003965B5"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FF3F12" w:rsidRDefault="003965B5" w:rsidP="003965B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3965B5" w:rsidRPr="00574A15" w:rsidRDefault="003965B5" w:rsidP="003965B5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4A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Președintele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>ședinței</w:t>
      </w:r>
      <w:proofErr w:type="spellEnd"/>
      <w:r w:rsidRPr="00574A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</w:t>
      </w:r>
    </w:p>
    <w:p w:rsidR="003965B5" w:rsidRPr="00574A15" w:rsidRDefault="003965B5" w:rsidP="003965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4A15">
        <w:rPr>
          <w:rFonts w:ascii="Times New Roman" w:hAnsi="Times New Roman" w:cs="Times New Roman"/>
          <w:b/>
          <w:sz w:val="28"/>
          <w:szCs w:val="28"/>
        </w:rPr>
        <w:t xml:space="preserve"> Secretarul consiliului comunal     </w:t>
      </w:r>
      <w:r w:rsidR="00574A1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74A15">
        <w:rPr>
          <w:rFonts w:ascii="Times New Roman" w:hAnsi="Times New Roman" w:cs="Times New Roman"/>
          <w:b/>
          <w:sz w:val="28"/>
          <w:szCs w:val="28"/>
        </w:rPr>
        <w:t xml:space="preserve">               Oprea Nina</w:t>
      </w:r>
    </w:p>
    <w:p w:rsidR="003C6833" w:rsidRPr="00574A15" w:rsidRDefault="003C6833">
      <w:pPr>
        <w:rPr>
          <w:sz w:val="28"/>
          <w:szCs w:val="28"/>
        </w:rPr>
      </w:pPr>
    </w:p>
    <w:sectPr w:rsidR="003C6833" w:rsidRPr="00574A15" w:rsidSect="00FF3F1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2D2"/>
    <w:multiLevelType w:val="hybridMultilevel"/>
    <w:tmpl w:val="8C041E40"/>
    <w:lvl w:ilvl="0" w:tplc="0418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DB2330F"/>
    <w:multiLevelType w:val="hybridMultilevel"/>
    <w:tmpl w:val="7CD2FE1A"/>
    <w:lvl w:ilvl="0" w:tplc="E1D8B36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C652D66"/>
    <w:multiLevelType w:val="hybridMultilevel"/>
    <w:tmpl w:val="B406C376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738214DD"/>
    <w:multiLevelType w:val="hybridMultilevel"/>
    <w:tmpl w:val="126C0F36"/>
    <w:lvl w:ilvl="0" w:tplc="0418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E1"/>
    <w:rsid w:val="000769AE"/>
    <w:rsid w:val="00087CE1"/>
    <w:rsid w:val="00247DA7"/>
    <w:rsid w:val="002F1A72"/>
    <w:rsid w:val="003965B5"/>
    <w:rsid w:val="003C6833"/>
    <w:rsid w:val="00451819"/>
    <w:rsid w:val="00574A15"/>
    <w:rsid w:val="00620841"/>
    <w:rsid w:val="00663F1F"/>
    <w:rsid w:val="00720C97"/>
    <w:rsid w:val="0075090E"/>
    <w:rsid w:val="007A6FD1"/>
    <w:rsid w:val="007F76FD"/>
    <w:rsid w:val="008C49DE"/>
    <w:rsid w:val="00A82FE6"/>
    <w:rsid w:val="00B60E93"/>
    <w:rsid w:val="00BC191A"/>
    <w:rsid w:val="00CF20BC"/>
    <w:rsid w:val="00EB3D62"/>
    <w:rsid w:val="00F73A48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22</cp:revision>
  <dcterms:created xsi:type="dcterms:W3CDTF">2026-03-20T08:16:00Z</dcterms:created>
  <dcterms:modified xsi:type="dcterms:W3CDTF">2026-04-06T06:57:00Z</dcterms:modified>
</cp:coreProperties>
</file>